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宋体" w:eastAsia="黑体"/>
          <w:spacing w:val="-4"/>
          <w:sz w:val="32"/>
        </w:rPr>
      </w:pPr>
    </w:p>
    <w:p>
      <w:pPr>
        <w:spacing w:line="580" w:lineRule="atLeast"/>
        <w:jc w:val="center"/>
        <w:rPr>
          <w:rFonts w:hint="eastAsia" w:ascii="仿宋_GB2312" w:eastAsia="创艺简标宋"/>
          <w:spacing w:val="-4"/>
          <w:sz w:val="44"/>
          <w:szCs w:val="21"/>
        </w:rPr>
      </w:pPr>
      <w:r>
        <w:rPr>
          <w:rFonts w:hint="eastAsia" w:ascii="仿宋_GB2312" w:eastAsia="创艺简标宋"/>
          <w:spacing w:val="-4"/>
          <w:sz w:val="44"/>
          <w:szCs w:val="21"/>
        </w:rPr>
        <w:t>宁波</w:t>
      </w:r>
      <w:bookmarkStart w:id="0" w:name="_GoBack"/>
      <w:bookmarkEnd w:id="0"/>
      <w:r>
        <w:rPr>
          <w:rFonts w:hint="eastAsia" w:ascii="仿宋_GB2312" w:eastAsia="创艺简标宋"/>
          <w:spacing w:val="-4"/>
          <w:sz w:val="44"/>
          <w:szCs w:val="21"/>
        </w:rPr>
        <w:t>高新区审</w:t>
      </w:r>
      <w:r>
        <w:rPr>
          <w:rFonts w:ascii="仿宋_GB2312" w:eastAsia="创艺简标宋"/>
          <w:spacing w:val="-4"/>
          <w:sz w:val="44"/>
          <w:szCs w:val="21"/>
        </w:rPr>
        <w:t>计</w:t>
      </w:r>
      <w:r>
        <w:rPr>
          <w:rFonts w:hint="eastAsia" w:ascii="仿宋_GB2312" w:eastAsia="创艺简标宋"/>
          <w:spacing w:val="-4"/>
          <w:sz w:val="44"/>
          <w:szCs w:val="21"/>
        </w:rPr>
        <w:t>中心政府信息公开目录</w:t>
      </w:r>
      <w:r>
        <w:rPr>
          <w:rFonts w:ascii="仿宋_GB2312" w:eastAsia="创艺简标宋"/>
          <w:spacing w:val="-4"/>
          <w:sz w:val="44"/>
          <w:szCs w:val="21"/>
        </w:rPr>
        <w:br w:type="textWrapping"/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706"/>
        <w:gridCol w:w="4336"/>
        <w:gridCol w:w="827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486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类　　别</w:t>
            </w:r>
          </w:p>
        </w:tc>
        <w:tc>
          <w:tcPr>
            <w:tcW w:w="254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描　　述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公开形式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机构概况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领导信息</w:t>
            </w:r>
            <w:r>
              <w:rPr>
                <w:rFonts w:hint="eastAsia" w:ascii="仿宋_GB2312" w:hAnsi="仿宋" w:eastAsia="仿宋_GB2312"/>
                <w:spacing w:val="-4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pacing w:val="-4"/>
                <w:sz w:val="24"/>
              </w:rPr>
              <w:t>机构职能</w:t>
            </w:r>
          </w:p>
        </w:tc>
        <w:tc>
          <w:tcPr>
            <w:tcW w:w="2544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１、领导姓名、职务、简历、工作分工等</w:t>
            </w:r>
            <w:r>
              <w:rPr>
                <w:rFonts w:hint="eastAsia" w:ascii="仿宋_GB2312" w:hAnsi="仿宋" w:eastAsia="仿宋_GB2312"/>
                <w:spacing w:val="-4"/>
                <w:sz w:val="24"/>
              </w:rPr>
              <w:br w:type="textWrapping"/>
            </w:r>
            <w:r>
              <w:rPr>
                <w:rFonts w:hint="eastAsia" w:ascii="仿宋_GB2312" w:hAnsi="仿宋" w:eastAsia="仿宋_GB2312"/>
                <w:spacing w:val="-4"/>
                <w:sz w:val="24"/>
              </w:rPr>
              <w:t>２、工作职责、机构名称、内部处室、工作职责、办公地址、联系电话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政府网站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法规公文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规范性文件</w:t>
            </w:r>
          </w:p>
        </w:tc>
        <w:tc>
          <w:tcPr>
            <w:tcW w:w="254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4"/>
                <w:shd w:val="clear" w:color="auto" w:fill="FFFFFF"/>
              </w:rPr>
              <w:t>文号为甬高新审中与群众利益密切相关的有关文件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政府网站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85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工作信息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计划总结</w:t>
            </w:r>
          </w:p>
        </w:tc>
        <w:tc>
          <w:tcPr>
            <w:tcW w:w="254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审计中心工作目标及其执行情况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政府网站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85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其他工作信息</w:t>
            </w:r>
          </w:p>
        </w:tc>
        <w:tc>
          <w:tcPr>
            <w:tcW w:w="254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审计业务工作相关情况及其他工作情况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政府网站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财政信息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</w:rPr>
              <w:t>财政预决算、“三公”经费</w:t>
            </w:r>
          </w:p>
        </w:tc>
        <w:tc>
          <w:tcPr>
            <w:tcW w:w="254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公布每年预算、决算、三公经费使用情况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政府网站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spacing w:val="-4"/>
                <w:sz w:val="24"/>
              </w:rPr>
              <w:t>长期公开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4"/>
    <w:rsid w:val="00001B57"/>
    <w:rsid w:val="0009407B"/>
    <w:rsid w:val="000F60A8"/>
    <w:rsid w:val="00117F31"/>
    <w:rsid w:val="00213EDF"/>
    <w:rsid w:val="00281D31"/>
    <w:rsid w:val="004C6942"/>
    <w:rsid w:val="00632FD4"/>
    <w:rsid w:val="00662A6D"/>
    <w:rsid w:val="009C0ADC"/>
    <w:rsid w:val="009F363E"/>
    <w:rsid w:val="00CC467B"/>
    <w:rsid w:val="00D7128E"/>
    <w:rsid w:val="00D849D9"/>
    <w:rsid w:val="00DF041A"/>
    <w:rsid w:val="00ED476A"/>
    <w:rsid w:val="39B98FE2"/>
    <w:rsid w:val="FBFF1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sfb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2015-12-11T23:46:00Z</dcterms:created>
  <dc:creator>mtt</dc:creator>
  <cp:lastModifiedBy>赵露</cp:lastModifiedBy>
  <dcterms:modified xsi:type="dcterms:W3CDTF">2023-05-12T14:21:14Z</dcterms:modified>
  <dc:title>附件一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